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附件</w:t>
      </w:r>
    </w:p>
    <w:p>
      <w:pPr>
        <w:topLinePunct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四川君需环境科技有限公司</w:t>
      </w:r>
    </w:p>
    <w:p>
      <w:pPr>
        <w:topLinePunct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核准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危险废物类别及代码</w:t>
      </w:r>
    </w:p>
    <w:p>
      <w:pPr>
        <w:spacing w:line="40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3"/>
        <w:gridCol w:w="1245"/>
        <w:gridCol w:w="2043"/>
        <w:gridCol w:w="4733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tblHeader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sz w:val="24"/>
                <w:szCs w:val="24"/>
              </w:rPr>
              <w:t>废物类别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sz w:val="24"/>
                <w:szCs w:val="24"/>
              </w:rPr>
              <w:t>废物名称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sz w:val="24"/>
                <w:szCs w:val="24"/>
              </w:rPr>
              <w:t>废物代码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收集贮存量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HW02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医药废物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</w:t>
            </w:r>
          </w:p>
        </w:tc>
        <w:tc>
          <w:tcPr>
            <w:tcW w:w="7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416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吨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HW03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废药物、药品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HW04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农药废物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color w:val="00000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</w:rPr>
              <w:t>HW05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木材防腐剂废物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HW06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废有机溶剂与含有机溶剂废物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全代码（900-402-06、900-404-06、900-405-06、900-407-06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</w:rPr>
              <w:t>仅含汽修行业产生的废物）（仅收集不贮存）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HW08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废矿物油与含矿物油废物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HW09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油/水、烃/水混合物或者乳化液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HW11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精（蒸）馏残渣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全代码（261-101-11、261-104-11除外）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HW12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染料、涂料废物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HW13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有机树脂类废物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HW16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感光材料废物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HW17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表面处理废物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HW18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焚烧处置残渣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全代码（772-003-18不包括感染性废物）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HW21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含铬废物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HW22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含铜废物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HW23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含锌废物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HW25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含硒废物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HW26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含镉废物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HW28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含碲废物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HW29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含汞废物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HW31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含铅废物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全代码（900-052-31除外）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HW32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无机氟化物废物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HW34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废酸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HW35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废碱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全代码（193-003-35 除外）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HW36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石棉废物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HW39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含酚废物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HW40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含醚废物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HW45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含有机卤化物废物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HW46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含镍废物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HW48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有色金属采选和冶炼废物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全代码（321-024-48、321-026-48、321-034-48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321-035-48、321-036-48、321-037-48、321-038-48除外）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HW49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其他废物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全代码（309-001-49除外；不含772-006-49、900-041-49中感染性废物，900-042-49中感染性和反应性废物，900-047-49、900-999-49中反应性废物）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HW50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废催化剂</w:t>
            </w:r>
          </w:p>
        </w:tc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全代码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6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仿宋_GB2312" w:hAnsi="Times New Roman" w:eastAsia="仿宋_GB2312" w:cs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以上代码不含感染性、剧毒性、爆炸性、反应性的危险废物（汽修行业产生的HW06废有机溶剂与含有机溶剂废物除外）。</w:t>
            </w:r>
          </w:p>
        </w:tc>
      </w:tr>
    </w:tbl>
    <w:p>
      <w:pPr>
        <w:spacing w:line="400" w:lineRule="exact"/>
        <w:jc w:val="both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sectPr>
      <w:pgSz w:w="23808" w:h="16840" w:orient="landscape"/>
      <w:pgMar w:top="1797" w:right="1440" w:bottom="1797" w:left="144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952"/>
    <w:rsid w:val="00005860"/>
    <w:rsid w:val="000220C8"/>
    <w:rsid w:val="00042C2A"/>
    <w:rsid w:val="00051432"/>
    <w:rsid w:val="00067EFF"/>
    <w:rsid w:val="00070EC7"/>
    <w:rsid w:val="00074644"/>
    <w:rsid w:val="000D2B4D"/>
    <w:rsid w:val="000F04C5"/>
    <w:rsid w:val="001011A5"/>
    <w:rsid w:val="001317EE"/>
    <w:rsid w:val="00133576"/>
    <w:rsid w:val="00135952"/>
    <w:rsid w:val="00140420"/>
    <w:rsid w:val="0015171F"/>
    <w:rsid w:val="00173D3E"/>
    <w:rsid w:val="001A1180"/>
    <w:rsid w:val="001A1706"/>
    <w:rsid w:val="001B0866"/>
    <w:rsid w:val="001C5333"/>
    <w:rsid w:val="001D068B"/>
    <w:rsid w:val="001E0CA0"/>
    <w:rsid w:val="001F0414"/>
    <w:rsid w:val="00227DB7"/>
    <w:rsid w:val="0025590E"/>
    <w:rsid w:val="00260AEC"/>
    <w:rsid w:val="002625DE"/>
    <w:rsid w:val="002A77B0"/>
    <w:rsid w:val="002C282F"/>
    <w:rsid w:val="002D121F"/>
    <w:rsid w:val="00345BF8"/>
    <w:rsid w:val="003735CB"/>
    <w:rsid w:val="0038104E"/>
    <w:rsid w:val="003C486F"/>
    <w:rsid w:val="003D41BB"/>
    <w:rsid w:val="003E4C26"/>
    <w:rsid w:val="00430A8C"/>
    <w:rsid w:val="004315CC"/>
    <w:rsid w:val="00471AC7"/>
    <w:rsid w:val="004B2F38"/>
    <w:rsid w:val="004D4257"/>
    <w:rsid w:val="005007D3"/>
    <w:rsid w:val="00510F2A"/>
    <w:rsid w:val="005250EE"/>
    <w:rsid w:val="005278F0"/>
    <w:rsid w:val="00540C91"/>
    <w:rsid w:val="005461BF"/>
    <w:rsid w:val="005945AE"/>
    <w:rsid w:val="00597D05"/>
    <w:rsid w:val="005D50D6"/>
    <w:rsid w:val="005E1845"/>
    <w:rsid w:val="005E4A39"/>
    <w:rsid w:val="005F3BF9"/>
    <w:rsid w:val="005F70F1"/>
    <w:rsid w:val="00620FEC"/>
    <w:rsid w:val="0062430F"/>
    <w:rsid w:val="00637BBD"/>
    <w:rsid w:val="00643D44"/>
    <w:rsid w:val="006B5FCF"/>
    <w:rsid w:val="006C5606"/>
    <w:rsid w:val="006E547A"/>
    <w:rsid w:val="0070597D"/>
    <w:rsid w:val="00733597"/>
    <w:rsid w:val="00771819"/>
    <w:rsid w:val="007A55AB"/>
    <w:rsid w:val="007B13AC"/>
    <w:rsid w:val="007C4025"/>
    <w:rsid w:val="007D3448"/>
    <w:rsid w:val="007D3B6F"/>
    <w:rsid w:val="00817026"/>
    <w:rsid w:val="00832E6D"/>
    <w:rsid w:val="00872389"/>
    <w:rsid w:val="008B3054"/>
    <w:rsid w:val="008F161F"/>
    <w:rsid w:val="00975792"/>
    <w:rsid w:val="009806D3"/>
    <w:rsid w:val="00992048"/>
    <w:rsid w:val="009A23EF"/>
    <w:rsid w:val="009B4196"/>
    <w:rsid w:val="009E0D99"/>
    <w:rsid w:val="009F13B2"/>
    <w:rsid w:val="00A01E77"/>
    <w:rsid w:val="00A31C2B"/>
    <w:rsid w:val="00A32A47"/>
    <w:rsid w:val="00A36BE7"/>
    <w:rsid w:val="00A477B2"/>
    <w:rsid w:val="00A8342D"/>
    <w:rsid w:val="00AE2DAD"/>
    <w:rsid w:val="00B3354B"/>
    <w:rsid w:val="00B610D6"/>
    <w:rsid w:val="00B82AEA"/>
    <w:rsid w:val="00B85993"/>
    <w:rsid w:val="00B868DA"/>
    <w:rsid w:val="00B95E3D"/>
    <w:rsid w:val="00BC34C6"/>
    <w:rsid w:val="00BF146F"/>
    <w:rsid w:val="00C00CAB"/>
    <w:rsid w:val="00C17BD7"/>
    <w:rsid w:val="00C2141D"/>
    <w:rsid w:val="00C616D1"/>
    <w:rsid w:val="00C6645A"/>
    <w:rsid w:val="00CC21E9"/>
    <w:rsid w:val="00CC4D7A"/>
    <w:rsid w:val="00D30C3C"/>
    <w:rsid w:val="00D376B7"/>
    <w:rsid w:val="00D41616"/>
    <w:rsid w:val="00D47D91"/>
    <w:rsid w:val="00D87A94"/>
    <w:rsid w:val="00DB63F6"/>
    <w:rsid w:val="00DE5057"/>
    <w:rsid w:val="00E0426F"/>
    <w:rsid w:val="00E71FD2"/>
    <w:rsid w:val="00E94DEF"/>
    <w:rsid w:val="00EC0130"/>
    <w:rsid w:val="00ED787D"/>
    <w:rsid w:val="00EE4EAE"/>
    <w:rsid w:val="00EE6571"/>
    <w:rsid w:val="00F64CD6"/>
    <w:rsid w:val="00FA0F13"/>
    <w:rsid w:val="00FB2B9C"/>
    <w:rsid w:val="01721E66"/>
    <w:rsid w:val="29DD1D74"/>
    <w:rsid w:val="2A396C9B"/>
    <w:rsid w:val="2C6357D7"/>
    <w:rsid w:val="3F7F607D"/>
    <w:rsid w:val="47D308F9"/>
    <w:rsid w:val="49BD7A4B"/>
    <w:rsid w:val="4F7C06C3"/>
    <w:rsid w:val="56E54F57"/>
    <w:rsid w:val="5FFFE908"/>
    <w:rsid w:val="607D463E"/>
    <w:rsid w:val="6D7CE498"/>
    <w:rsid w:val="6E4FA72C"/>
    <w:rsid w:val="76FF1AE0"/>
    <w:rsid w:val="773FC7C6"/>
    <w:rsid w:val="78AF3BA2"/>
    <w:rsid w:val="7B7E8469"/>
    <w:rsid w:val="7DB93E02"/>
    <w:rsid w:val="7E4930F4"/>
    <w:rsid w:val="7EDD1AA3"/>
    <w:rsid w:val="7FBF011A"/>
    <w:rsid w:val="B7FD92EE"/>
    <w:rsid w:val="BB9D1587"/>
    <w:rsid w:val="BF6FF5B5"/>
    <w:rsid w:val="BFBE1689"/>
    <w:rsid w:val="CE26968F"/>
    <w:rsid w:val="D3EE8795"/>
    <w:rsid w:val="DE7D2B33"/>
    <w:rsid w:val="DF7CBA2C"/>
    <w:rsid w:val="E5EF77E4"/>
    <w:rsid w:val="F9F74464"/>
    <w:rsid w:val="FECD3082"/>
    <w:rsid w:val="FFF6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mbria" w:hAnsi="Cambria" w:eastAsia="MS Mincho" w:cstheme="minorBidi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link w:val="20"/>
    <w:qFormat/>
    <w:uiPriority w:val="9"/>
    <w:pPr>
      <w:spacing w:before="100" w:beforeAutospacing="1" w:after="100" w:afterAutospacing="1"/>
      <w:outlineLvl w:val="2"/>
    </w:pPr>
    <w:rPr>
      <w:rFonts w:ascii="宋体" w:hAnsi="宋体" w:eastAsia="宋体" w:cs="宋体"/>
      <w:b/>
      <w:bCs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4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link w:val="19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/>
      <w:kern w:val="2"/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595959"/>
      <w:u w:val="none"/>
    </w:rPr>
  </w:style>
  <w:style w:type="character" w:styleId="11">
    <w:name w:val="Emphasis"/>
    <w:basedOn w:val="9"/>
    <w:qFormat/>
    <w:uiPriority w:val="20"/>
  </w:style>
  <w:style w:type="character" w:styleId="12">
    <w:name w:val="HTML Definition"/>
    <w:basedOn w:val="9"/>
    <w:semiHidden/>
    <w:unhideWhenUsed/>
    <w:qFormat/>
    <w:uiPriority w:val="99"/>
  </w:style>
  <w:style w:type="character" w:styleId="13">
    <w:name w:val="HTML Variable"/>
    <w:basedOn w:val="9"/>
    <w:semiHidden/>
    <w:unhideWhenUsed/>
    <w:qFormat/>
    <w:uiPriority w:val="99"/>
  </w:style>
  <w:style w:type="character" w:styleId="14">
    <w:name w:val="Hyperlink"/>
    <w:basedOn w:val="9"/>
    <w:semiHidden/>
    <w:unhideWhenUsed/>
    <w:qFormat/>
    <w:uiPriority w:val="99"/>
    <w:rPr>
      <w:color w:val="595959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6">
    <w:name w:val="HTML Cite"/>
    <w:basedOn w:val="9"/>
    <w:semiHidden/>
    <w:unhideWhenUsed/>
    <w:qFormat/>
    <w:uiPriority w:val="99"/>
  </w:style>
  <w:style w:type="paragraph" w:customStyle="1" w:styleId="17">
    <w:name w:val="表格文字"/>
    <w:next w:val="1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18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9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20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1">
    <w:name w:val="time"/>
    <w:basedOn w:val="9"/>
    <w:qFormat/>
    <w:uiPriority w:val="0"/>
    <w:rPr>
      <w:sz w:val="18"/>
      <w:szCs w:val="18"/>
    </w:rPr>
  </w:style>
  <w:style w:type="character" w:customStyle="1" w:styleId="22">
    <w:name w:val="time1"/>
    <w:basedOn w:val="9"/>
    <w:qFormat/>
    <w:uiPriority w:val="0"/>
    <w:rPr>
      <w:sz w:val="18"/>
      <w:szCs w:val="18"/>
    </w:rPr>
  </w:style>
  <w:style w:type="character" w:customStyle="1" w:styleId="23">
    <w:name w:val="name"/>
    <w:basedOn w:val="9"/>
    <w:qFormat/>
    <w:uiPriority w:val="0"/>
    <w:rPr>
      <w:b/>
      <w:color w:val="2276BE"/>
      <w:sz w:val="30"/>
      <w:szCs w:val="30"/>
    </w:rPr>
  </w:style>
  <w:style w:type="character" w:customStyle="1" w:styleId="24">
    <w:name w:val="name1"/>
    <w:basedOn w:val="9"/>
    <w:qFormat/>
    <w:uiPriority w:val="0"/>
    <w:rPr>
      <w:b/>
      <w:color w:val="2276BE"/>
      <w:sz w:val="30"/>
      <w:szCs w:val="30"/>
    </w:rPr>
  </w:style>
  <w:style w:type="character" w:customStyle="1" w:styleId="25">
    <w:name w:val="name2"/>
    <w:basedOn w:val="9"/>
    <w:qFormat/>
    <w:uiPriority w:val="0"/>
    <w:rPr>
      <w:b/>
      <w:color w:val="2276BE"/>
      <w:sz w:val="30"/>
      <w:szCs w:val="30"/>
    </w:rPr>
  </w:style>
  <w:style w:type="character" w:customStyle="1" w:styleId="26">
    <w:name w:val="xq"/>
    <w:basedOn w:val="9"/>
    <w:qFormat/>
    <w:uiPriority w:val="0"/>
    <w:rPr>
      <w:color w:val="FFFFFF"/>
      <w:sz w:val="18"/>
      <w:szCs w:val="18"/>
      <w:shd w:val="clear" w:color="auto" w:fill="60AFE7"/>
    </w:rPr>
  </w:style>
  <w:style w:type="character" w:customStyle="1" w:styleId="27">
    <w:name w:val="bg12"/>
    <w:basedOn w:val="9"/>
    <w:qFormat/>
    <w:uiPriority w:val="0"/>
    <w:rPr>
      <w:color w:val="FFFFFF"/>
    </w:rPr>
  </w:style>
  <w:style w:type="character" w:customStyle="1" w:styleId="28">
    <w:name w:val="bg13"/>
    <w:basedOn w:val="9"/>
    <w:qFormat/>
    <w:uiPriority w:val="0"/>
    <w:rPr>
      <w:shd w:val="clear" w:color="auto" w:fill="FFFFFF"/>
    </w:rPr>
  </w:style>
  <w:style w:type="character" w:customStyle="1" w:styleId="29">
    <w:name w:val="bg14"/>
    <w:basedOn w:val="9"/>
    <w:qFormat/>
    <w:uiPriority w:val="0"/>
    <w:rPr>
      <w:shd w:val="clear" w:color="auto" w:fill="FFFFFF"/>
    </w:rPr>
  </w:style>
  <w:style w:type="character" w:customStyle="1" w:styleId="30">
    <w:name w:val="sel"/>
    <w:basedOn w:val="9"/>
    <w:qFormat/>
    <w:uiPriority w:val="0"/>
    <w:rPr>
      <w:color w:val="2181E1"/>
    </w:rPr>
  </w:style>
  <w:style w:type="character" w:customStyle="1" w:styleId="31">
    <w:name w:val="sel1"/>
    <w:basedOn w:val="9"/>
    <w:qFormat/>
    <w:uiPriority w:val="0"/>
  </w:style>
  <w:style w:type="character" w:customStyle="1" w:styleId="32">
    <w:name w:val="more6"/>
    <w:basedOn w:val="9"/>
    <w:qFormat/>
    <w:uiPriority w:val="0"/>
    <w:rPr>
      <w:color w:val="FFFFFF"/>
      <w:sz w:val="18"/>
      <w:szCs w:val="18"/>
      <w:shd w:val="clear" w:color="auto" w:fill="60AFE7"/>
    </w:rPr>
  </w:style>
  <w:style w:type="character" w:customStyle="1" w:styleId="33">
    <w:name w:val="on2"/>
    <w:basedOn w:val="9"/>
    <w:qFormat/>
    <w:uiPriority w:val="0"/>
    <w:rPr>
      <w:color w:val="FFFFFF"/>
      <w:shd w:val="clear" w:color="auto" w:fill="55A7F8"/>
    </w:rPr>
  </w:style>
  <w:style w:type="character" w:customStyle="1" w:styleId="34">
    <w:name w:val="name4"/>
    <w:basedOn w:val="9"/>
    <w:qFormat/>
    <w:uiPriority w:val="0"/>
    <w:rPr>
      <w:b/>
      <w:color w:val="2276BE"/>
      <w:sz w:val="30"/>
      <w:szCs w:val="30"/>
    </w:rPr>
  </w:style>
  <w:style w:type="character" w:customStyle="1" w:styleId="35">
    <w:name w:val="name5"/>
    <w:basedOn w:val="9"/>
    <w:qFormat/>
    <w:uiPriority w:val="0"/>
    <w:rPr>
      <w:b/>
      <w:color w:val="2276BE"/>
      <w:sz w:val="30"/>
      <w:szCs w:val="30"/>
    </w:rPr>
  </w:style>
  <w:style w:type="character" w:customStyle="1" w:styleId="36">
    <w:name w:val="name6"/>
    <w:basedOn w:val="9"/>
    <w:qFormat/>
    <w:uiPriority w:val="0"/>
    <w:rPr>
      <w:b/>
      <w:color w:val="2276BE"/>
      <w:sz w:val="30"/>
      <w:szCs w:val="30"/>
    </w:rPr>
  </w:style>
  <w:style w:type="character" w:customStyle="1" w:styleId="37">
    <w:name w:val="time4"/>
    <w:basedOn w:val="9"/>
    <w:qFormat/>
    <w:uiPriority w:val="0"/>
    <w:rPr>
      <w:sz w:val="18"/>
      <w:szCs w:val="18"/>
    </w:rPr>
  </w:style>
  <w:style w:type="character" w:customStyle="1" w:styleId="38">
    <w:name w:val="time5"/>
    <w:basedOn w:val="9"/>
    <w:qFormat/>
    <w:uiPriority w:val="0"/>
    <w:rPr>
      <w:sz w:val="18"/>
      <w:szCs w:val="18"/>
    </w:rPr>
  </w:style>
  <w:style w:type="paragraph" w:customStyle="1" w:styleId="39">
    <w:name w:val="样式 首行缩进:  2 字符 行距: 1.5 倍行距"/>
    <w:basedOn w:val="1"/>
    <w:qFormat/>
    <w:uiPriority w:val="99"/>
    <w:pPr>
      <w:widowControl w:val="0"/>
      <w:adjustRightInd w:val="0"/>
      <w:snapToGrid w:val="0"/>
      <w:spacing w:line="360" w:lineRule="auto"/>
      <w:ind w:firstLine="592" w:firstLineChars="200"/>
      <w:jc w:val="both"/>
    </w:pPr>
    <w:rPr>
      <w:rFonts w:ascii="Calibri" w:hAnsi="Calibri" w:eastAsia="宋体" w:cs="宋体"/>
      <w:kern w:val="2"/>
      <w:sz w:val="28"/>
      <w:szCs w:val="28"/>
    </w:rPr>
  </w:style>
  <w:style w:type="character" w:customStyle="1" w:styleId="40">
    <w:name w:val="表体-格式 Char"/>
    <w:link w:val="41"/>
    <w:qFormat/>
    <w:locked/>
    <w:uiPriority w:val="0"/>
    <w:rPr>
      <w:szCs w:val="18"/>
      <w:lang w:eastAsia="en-US" w:bidi="en-US"/>
    </w:rPr>
  </w:style>
  <w:style w:type="paragraph" w:customStyle="1" w:styleId="41">
    <w:name w:val="表体-格式"/>
    <w:basedOn w:val="1"/>
    <w:link w:val="40"/>
    <w:qFormat/>
    <w:uiPriority w:val="0"/>
    <w:pPr>
      <w:widowControl w:val="0"/>
      <w:adjustRightInd w:val="0"/>
      <w:snapToGrid w:val="0"/>
      <w:jc w:val="center"/>
    </w:pPr>
    <w:rPr>
      <w:rFonts w:ascii="Calibri" w:hAnsi="Calibri" w:eastAsia="宋体" w:cs="Times New Roman"/>
      <w:sz w:val="20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193</Words>
  <Characters>1105</Characters>
  <Lines>9</Lines>
  <Paragraphs>2</Paragraphs>
  <TotalTime>2</TotalTime>
  <ScaleCrop>false</ScaleCrop>
  <LinksUpToDate>false</LinksUpToDate>
  <CharactersWithSpaces>1296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2022-07-09T10:09:00Z</dcterms:created>
  <dc:creator>瞿建林</dc:creator>
  <cp:lastModifiedBy>user</cp:lastModifiedBy>
  <cp:lastPrinted>2024-04-13T03:26:00Z</cp:lastPrinted>
  <dcterms:modified xsi:type="dcterms:W3CDTF">2025-11-07T11:53:59Z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74BFC5A360291E26616A0D698B48A347</vt:lpwstr>
  </property>
</Properties>
</file>